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654" w:rsidRDefault="00BF4E19">
      <w:r w:rsidRPr="00BF4E19">
        <w:rPr>
          <w:rFonts w:hint="eastAsia"/>
        </w:rPr>
        <w:t>公共事业管理</w:t>
      </w:r>
      <w:r w:rsidRPr="00BF4E19">
        <w:t>(1317)</w:t>
      </w:r>
    </w:p>
    <w:p w:rsidR="00BF4E19" w:rsidRPr="00BF4E19" w:rsidRDefault="00BF4E19" w:rsidP="00BF4E19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BF4E19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数学课程</w:t>
      </w:r>
    </w:p>
    <w:p w:rsidR="00BF4E19" w:rsidRPr="00BF4E19" w:rsidRDefault="00BF4E19" w:rsidP="00BF4E19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BF4E19">
        <w:rPr>
          <w:rFonts w:ascii="Segoe UI" w:eastAsia="宋体" w:hAnsi="Segoe UI" w:cs="Segoe UI"/>
          <w:color w:val="0F1115"/>
          <w:kern w:val="0"/>
          <w:sz w:val="24"/>
          <w:szCs w:val="24"/>
        </w:rPr>
        <w:t>数学课程包括高等数学、线性代数、概率论与数理统计、运筹学、计量经济学等基础数学和应用数学课程。以下是数学课程的详细表格：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2"/>
        <w:gridCol w:w="2567"/>
        <w:gridCol w:w="940"/>
        <w:gridCol w:w="940"/>
        <w:gridCol w:w="1400"/>
      </w:tblGrid>
      <w:tr w:rsidR="00BF4E19" w:rsidRPr="00BF4E19" w:rsidTr="00BF4E19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课程代码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修读学期</w:t>
            </w:r>
          </w:p>
        </w:tc>
      </w:tr>
      <w:tr w:rsidR="00BF4E19" w:rsidRPr="00BF4E19" w:rsidTr="00BF4E1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22001210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高等数学</w:t>
            </w: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C(1)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5.0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proofErr w:type="gramStart"/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一</w:t>
            </w:r>
            <w:proofErr w:type="gramEnd"/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/1</w:t>
            </w:r>
          </w:p>
        </w:tc>
      </w:tr>
      <w:tr w:rsidR="00BF4E19" w:rsidRPr="00BF4E19" w:rsidTr="00BF4E1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22001220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高等数学</w:t>
            </w: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C(2)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5.0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proofErr w:type="gramStart"/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一</w:t>
            </w:r>
            <w:proofErr w:type="gramEnd"/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/2</w:t>
            </w:r>
          </w:p>
        </w:tc>
      </w:tr>
      <w:tr w:rsidR="00BF4E19" w:rsidRPr="00BF4E19" w:rsidTr="00BF4E1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22000622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线性代数</w:t>
            </w: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2.0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proofErr w:type="gramStart"/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一</w:t>
            </w:r>
            <w:proofErr w:type="gramEnd"/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/2</w:t>
            </w:r>
          </w:p>
        </w:tc>
      </w:tr>
      <w:tr w:rsidR="00BF4E19" w:rsidRPr="00BF4E19" w:rsidTr="00BF4E1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22000172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概率论与数理统计</w:t>
            </w: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3.0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proofErr w:type="gramStart"/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一</w:t>
            </w:r>
            <w:proofErr w:type="gramEnd"/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/1</w:t>
            </w:r>
          </w:p>
        </w:tc>
      </w:tr>
      <w:tr w:rsidR="00BF4E19" w:rsidRPr="00BF4E19" w:rsidTr="00BF4E1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13007615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运筹学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3.0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proofErr w:type="gramStart"/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一</w:t>
            </w:r>
            <w:proofErr w:type="gramEnd"/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/1</w:t>
            </w:r>
          </w:p>
        </w:tc>
      </w:tr>
      <w:tr w:rsidR="00BF4E19" w:rsidRPr="00BF4E19" w:rsidTr="00BF4E1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13001131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计量经济学</w:t>
            </w: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3.0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proofErr w:type="gramStart"/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一</w:t>
            </w:r>
            <w:proofErr w:type="gramEnd"/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/2</w:t>
            </w:r>
          </w:p>
        </w:tc>
      </w:tr>
      <w:tr w:rsidR="00BF4E19" w:rsidRPr="00BF4E19" w:rsidTr="00BF4E1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6</w:t>
            </w:r>
            <w:r w:rsidRPr="00BF4E19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门课程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21.0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BF4E19" w:rsidRPr="00BF4E19" w:rsidRDefault="00BF4E19" w:rsidP="00BF4E19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BF4E19">
        <w:rPr>
          <w:rFonts w:ascii="Segoe UI" w:eastAsia="宋体" w:hAnsi="Segoe UI" w:cs="Segoe UI"/>
          <w:color w:val="0F1115"/>
          <w:kern w:val="0"/>
          <w:sz w:val="24"/>
          <w:szCs w:val="24"/>
        </w:rPr>
        <w:t>数学课程学分占比</w:t>
      </w:r>
      <w:r w:rsidRPr="00BF4E19">
        <w:rPr>
          <w:rFonts w:ascii="Segoe UI" w:eastAsia="宋体" w:hAnsi="Segoe UI" w:cs="Segoe UI"/>
          <w:color w:val="0F1115"/>
          <w:kern w:val="0"/>
          <w:sz w:val="24"/>
          <w:szCs w:val="24"/>
        </w:rPr>
        <w:t>: 21.0 / 151.5 ≈ 13.86%</w:t>
      </w:r>
    </w:p>
    <w:p w:rsidR="00BF4E19" w:rsidRPr="00BF4E19" w:rsidRDefault="00BF4E19" w:rsidP="00BF4E19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BF4E19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物理课程</w:t>
      </w:r>
    </w:p>
    <w:p w:rsidR="00BF4E19" w:rsidRPr="00BF4E19" w:rsidRDefault="00BF4E19" w:rsidP="00BF4E19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BF4E19">
        <w:rPr>
          <w:rFonts w:ascii="Segoe UI" w:eastAsia="宋体" w:hAnsi="Segoe UI" w:cs="Segoe UI"/>
          <w:color w:val="0F1115"/>
          <w:kern w:val="0"/>
          <w:sz w:val="24"/>
          <w:szCs w:val="24"/>
        </w:rPr>
        <w:t>该专业未设置物理课程。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1400"/>
        <w:gridCol w:w="940"/>
        <w:gridCol w:w="940"/>
        <w:gridCol w:w="1400"/>
      </w:tblGrid>
      <w:tr w:rsidR="00BF4E19" w:rsidRPr="00BF4E19" w:rsidTr="00BF4E19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课程代码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修读学期</w:t>
            </w:r>
          </w:p>
        </w:tc>
      </w:tr>
      <w:tr w:rsidR="00BF4E19" w:rsidRPr="00BF4E19" w:rsidTr="00BF4E1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（无）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4E19" w:rsidRPr="00BF4E19" w:rsidTr="00BF4E1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0</w:t>
            </w:r>
            <w:r w:rsidRPr="00BF4E19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门课程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BF4E19" w:rsidRPr="00BF4E19" w:rsidRDefault="00BF4E19" w:rsidP="00BF4E19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BF4E19">
        <w:rPr>
          <w:rFonts w:ascii="Segoe UI" w:eastAsia="宋体" w:hAnsi="Segoe UI" w:cs="Segoe UI"/>
          <w:color w:val="0F1115"/>
          <w:kern w:val="0"/>
          <w:sz w:val="24"/>
          <w:szCs w:val="24"/>
        </w:rPr>
        <w:lastRenderedPageBreak/>
        <w:t>物理课程学分占比</w:t>
      </w:r>
      <w:r w:rsidRPr="00BF4E19">
        <w:rPr>
          <w:rFonts w:ascii="Segoe UI" w:eastAsia="宋体" w:hAnsi="Segoe UI" w:cs="Segoe UI"/>
          <w:color w:val="0F1115"/>
          <w:kern w:val="0"/>
          <w:sz w:val="24"/>
          <w:szCs w:val="24"/>
        </w:rPr>
        <w:t>: 0.0 / 151.5 ≈ 0%</w:t>
      </w:r>
    </w:p>
    <w:p w:rsidR="00BF4E19" w:rsidRPr="00BF4E19" w:rsidRDefault="00BF4E19" w:rsidP="00BF4E19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BF4E19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化学课程</w:t>
      </w:r>
    </w:p>
    <w:p w:rsidR="00BF4E19" w:rsidRPr="00BF4E19" w:rsidRDefault="00BF4E19" w:rsidP="00BF4E19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BF4E19">
        <w:rPr>
          <w:rFonts w:ascii="Segoe UI" w:eastAsia="宋体" w:hAnsi="Segoe UI" w:cs="Segoe UI"/>
          <w:color w:val="0F1115"/>
          <w:kern w:val="0"/>
          <w:sz w:val="24"/>
          <w:szCs w:val="24"/>
        </w:rPr>
        <w:t>该专业未设置化学课程。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1400"/>
        <w:gridCol w:w="940"/>
        <w:gridCol w:w="940"/>
        <w:gridCol w:w="1400"/>
      </w:tblGrid>
      <w:tr w:rsidR="00BF4E19" w:rsidRPr="00BF4E19" w:rsidTr="00BF4E19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课程代码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修读学期</w:t>
            </w:r>
          </w:p>
        </w:tc>
      </w:tr>
      <w:tr w:rsidR="00BF4E19" w:rsidRPr="00BF4E19" w:rsidTr="00BF4E1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（无）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4E19" w:rsidRPr="00BF4E19" w:rsidTr="00BF4E1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0</w:t>
            </w:r>
            <w:r w:rsidRPr="00BF4E19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门课程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BF4E19" w:rsidRPr="00BF4E19" w:rsidRDefault="00BF4E19" w:rsidP="00BF4E19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BF4E19">
        <w:rPr>
          <w:rFonts w:ascii="Segoe UI" w:eastAsia="宋体" w:hAnsi="Segoe UI" w:cs="Segoe UI"/>
          <w:color w:val="0F1115"/>
          <w:kern w:val="0"/>
          <w:sz w:val="24"/>
          <w:szCs w:val="24"/>
        </w:rPr>
        <w:t>化学课程学分占比</w:t>
      </w:r>
      <w:r w:rsidRPr="00BF4E19">
        <w:rPr>
          <w:rFonts w:ascii="Segoe UI" w:eastAsia="宋体" w:hAnsi="Segoe UI" w:cs="Segoe UI"/>
          <w:color w:val="0F1115"/>
          <w:kern w:val="0"/>
          <w:sz w:val="24"/>
          <w:szCs w:val="24"/>
        </w:rPr>
        <w:t>: 0.0 / 151.5 ≈ 0%</w:t>
      </w:r>
    </w:p>
    <w:p w:rsidR="00BF4E19" w:rsidRPr="00BF4E19" w:rsidRDefault="00BF4E19" w:rsidP="00BF4E19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BF4E19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统计总结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1400"/>
        <w:gridCol w:w="1170"/>
        <w:gridCol w:w="1860"/>
      </w:tblGrid>
      <w:tr w:rsidR="00BF4E19" w:rsidRPr="00BF4E19" w:rsidTr="00BF4E19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科目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课程数量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总学分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占总学分比例</w:t>
            </w:r>
          </w:p>
        </w:tc>
      </w:tr>
      <w:tr w:rsidR="00BF4E19" w:rsidRPr="00BF4E19" w:rsidTr="00BF4E1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数学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21.0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约</w:t>
            </w: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13.86%</w:t>
            </w:r>
          </w:p>
        </w:tc>
      </w:tr>
      <w:tr w:rsidR="00BF4E19" w:rsidRPr="00BF4E19" w:rsidTr="00BF4E1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物理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约</w:t>
            </w: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0%</w:t>
            </w:r>
          </w:p>
        </w:tc>
      </w:tr>
      <w:tr w:rsidR="00BF4E19" w:rsidRPr="00BF4E19" w:rsidTr="00BF4E1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化学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约</w:t>
            </w: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0%</w:t>
            </w:r>
          </w:p>
        </w:tc>
      </w:tr>
      <w:tr w:rsidR="00BF4E19" w:rsidRPr="00BF4E19" w:rsidTr="00BF4E1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数理化总计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21.0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F4E19" w:rsidRPr="00BF4E19" w:rsidRDefault="00BF4E19" w:rsidP="00BF4E19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>约</w:t>
            </w:r>
            <w:r w:rsidRPr="00BF4E19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13.86%</w:t>
            </w:r>
          </w:p>
        </w:tc>
      </w:tr>
    </w:tbl>
    <w:p w:rsidR="00BF4E19" w:rsidRDefault="00BF4E19">
      <w:bookmarkStart w:id="0" w:name="_GoBack"/>
      <w:bookmarkEnd w:id="0"/>
    </w:p>
    <w:sectPr w:rsidR="00BF4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034"/>
    <w:rsid w:val="00123654"/>
    <w:rsid w:val="00BF4E19"/>
    <w:rsid w:val="00EB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9592C"/>
  <w15:chartTrackingRefBased/>
  <w15:docId w15:val="{DF17BBFF-A73E-4275-B379-D0BCEACA3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9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2025-10-29T06:09:00Z</dcterms:created>
  <dcterms:modified xsi:type="dcterms:W3CDTF">2025-10-29T06:09:00Z</dcterms:modified>
</cp:coreProperties>
</file>