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9D" w:rsidRDefault="001215AE">
      <w:r w:rsidRPr="001215AE">
        <w:rPr>
          <w:rFonts w:hint="eastAsia"/>
        </w:rPr>
        <w:t>工业工程</w:t>
      </w:r>
      <w:r w:rsidRPr="001215AE">
        <w:t>(1309)</w:t>
      </w:r>
    </w:p>
    <w:p w:rsidR="001215AE" w:rsidRPr="001215AE" w:rsidRDefault="001215AE" w:rsidP="001215AE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数学课程包括高等数学、线性代数、概率论与数理统计等核心课程。以下是数学课程的详细表格：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1215AE" w:rsidRPr="001215AE" w:rsidTr="001215A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: 18.0 / 156 ≈ 11.54%</w:t>
      </w:r>
    </w:p>
    <w:p w:rsidR="001215AE" w:rsidRPr="001215AE" w:rsidRDefault="001215AE" w:rsidP="001215AE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该专业未设置物理课程。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1215AE" w:rsidRPr="001215AE" w:rsidTr="001215A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156 ≈ 0%</w:t>
      </w:r>
    </w:p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:rsidR="001215AE" w:rsidRPr="001215AE" w:rsidRDefault="001215AE" w:rsidP="001215AE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化学课程</w:t>
      </w:r>
    </w:p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该专业未设置化学课程。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1215AE" w:rsidRPr="001215AE" w:rsidTr="001215A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215AE" w:rsidRPr="001215AE" w:rsidRDefault="001215AE" w:rsidP="001215AE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1215AE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156 ≈ 0%</w:t>
      </w:r>
    </w:p>
    <w:p w:rsidR="001215AE" w:rsidRPr="001215AE" w:rsidRDefault="001215AE" w:rsidP="001215AE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215AE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1215AE" w:rsidRPr="001215AE" w:rsidTr="001215A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18.0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11.54%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  <w:bookmarkStart w:id="0" w:name="_GoBack"/>
        <w:bookmarkEnd w:id="0"/>
      </w:tr>
      <w:tr w:rsidR="001215AE" w:rsidRPr="001215AE" w:rsidTr="001215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18.0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15AE" w:rsidRPr="001215AE" w:rsidRDefault="001215AE" w:rsidP="001215AE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215AE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11.54%</w:t>
            </w:r>
          </w:p>
        </w:tc>
      </w:tr>
    </w:tbl>
    <w:p w:rsidR="001215AE" w:rsidRDefault="001215AE"/>
    <w:sectPr w:rsidR="0012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19"/>
    <w:rsid w:val="001215AE"/>
    <w:rsid w:val="00290619"/>
    <w:rsid w:val="004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5873"/>
  <w15:chartTrackingRefBased/>
  <w15:docId w15:val="{1FB8F369-330D-49BC-94EF-9F5F9E41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2025-10-29T05:51:00Z</dcterms:created>
  <dcterms:modified xsi:type="dcterms:W3CDTF">2025-10-29T05:51:00Z</dcterms:modified>
</cp:coreProperties>
</file>